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8F">
        <w:rPr>
          <w:b/>
          <w:sz w:val="32"/>
          <w:szCs w:val="32"/>
        </w:rPr>
        <w:t>Избирком Хакасии установил</w:t>
      </w:r>
      <w:r w:rsidR="00874193">
        <w:rPr>
          <w:b/>
          <w:sz w:val="32"/>
          <w:szCs w:val="32"/>
        </w:rPr>
        <w:t xml:space="preserve"> численность избирателей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874193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 состоянию на 1 июля 2018 года на территории Республики Хакасия зарегистрированы 38</w:t>
      </w:r>
      <w:r w:rsidR="003A388F">
        <w:rPr>
          <w:b/>
          <w:color w:val="000000"/>
          <w:sz w:val="28"/>
          <w:szCs w:val="28"/>
          <w:shd w:val="clear" w:color="auto" w:fill="FFFFFF"/>
        </w:rPr>
        <w:t>2032</w:t>
      </w:r>
      <w:r>
        <w:rPr>
          <w:b/>
          <w:color w:val="000000"/>
          <w:sz w:val="28"/>
          <w:szCs w:val="28"/>
          <w:shd w:val="clear" w:color="auto" w:fill="FFFFFF"/>
        </w:rPr>
        <w:t xml:space="preserve"> избирател</w:t>
      </w:r>
      <w:r w:rsidR="003A388F">
        <w:rPr>
          <w:b/>
          <w:color w:val="000000"/>
          <w:sz w:val="28"/>
          <w:szCs w:val="28"/>
          <w:shd w:val="clear" w:color="auto" w:fill="FFFFFF"/>
        </w:rPr>
        <w:t>я</w:t>
      </w:r>
      <w:r w:rsidR="00C21951">
        <w:rPr>
          <w:bCs/>
          <w:sz w:val="28"/>
          <w:szCs w:val="28"/>
        </w:rPr>
        <w:t>.</w:t>
      </w:r>
    </w:p>
    <w:p w:rsidR="004B1EC5" w:rsidRDefault="003A388F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Наибольшая плотность населени</w:t>
      </w:r>
      <w:r w:rsidR="00AA463C">
        <w:rPr>
          <w:color w:val="000000"/>
          <w:sz w:val="28"/>
          <w:szCs w:val="28"/>
          <w:shd w:val="clear" w:color="auto" w:fill="FFFFFF"/>
        </w:rPr>
        <w:t>я установлена в городах Абакан – 33</w:t>
      </w:r>
      <w:r w:rsidR="00D82C39">
        <w:rPr>
          <w:color w:val="000000"/>
          <w:sz w:val="28"/>
          <w:szCs w:val="28"/>
          <w:shd w:val="clear" w:color="auto" w:fill="FFFFFF"/>
        </w:rPr>
        <w:t>,</w:t>
      </w:r>
      <w:r w:rsidR="00AA463C">
        <w:rPr>
          <w:color w:val="000000"/>
          <w:sz w:val="28"/>
          <w:szCs w:val="28"/>
          <w:shd w:val="clear" w:color="auto" w:fill="FFFFFF"/>
        </w:rPr>
        <w:t xml:space="preserve">56%, Саяногорск – 12,60%, </w:t>
      </w:r>
      <w:proofErr w:type="spellStart"/>
      <w:r w:rsidR="00AA463C">
        <w:rPr>
          <w:color w:val="000000"/>
          <w:sz w:val="28"/>
          <w:szCs w:val="28"/>
          <w:shd w:val="clear" w:color="auto" w:fill="FFFFFF"/>
        </w:rPr>
        <w:t>Черногорск</w:t>
      </w:r>
      <w:proofErr w:type="spellEnd"/>
      <w:r w:rsidR="00AA463C">
        <w:rPr>
          <w:color w:val="000000"/>
          <w:sz w:val="28"/>
          <w:szCs w:val="28"/>
          <w:shd w:val="clear" w:color="auto" w:fill="FFFFFF"/>
        </w:rPr>
        <w:t xml:space="preserve"> – 12,12%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  <w:r w:rsidR="00AA463C">
        <w:rPr>
          <w:color w:val="000000"/>
          <w:sz w:val="28"/>
          <w:szCs w:val="28"/>
          <w:shd w:val="clear" w:color="auto" w:fill="FFFFFF"/>
        </w:rPr>
        <w:t xml:space="preserve"> Самым малонаселенным муниципальным образованием в республике оказался город Сорск – в нем проживают только 2% избирателей.</w:t>
      </w:r>
    </w:p>
    <w:p w:rsidR="004616A6" w:rsidRDefault="004616A6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Общая картина по численности избирателей на территории Республики Хакасия выглядит следующим образом:</w:t>
      </w:r>
    </w:p>
    <w:p w:rsidR="00010EAF" w:rsidRDefault="00010EAF" w:rsidP="00010EA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10EAF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7698" cy="4702628"/>
            <wp:effectExtent l="19050" t="0" r="14952" b="272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0EAF" w:rsidRDefault="004616A6" w:rsidP="00010EA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Среди избирателей также преобладают женщины, их по состоянию на середину 2018 года ровно на 10%</w:t>
      </w:r>
      <w:r w:rsidRPr="004616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больше, чем мужчин:</w:t>
      </w:r>
    </w:p>
    <w:p w:rsidR="00967680" w:rsidRDefault="004616A6" w:rsidP="0096768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616A6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3888" cy="4441371"/>
            <wp:effectExtent l="19050" t="0" r="18762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7680" w:rsidRDefault="0073412C" w:rsidP="0096768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возрастному критерию распределение избирателей республики следующее:</w:t>
      </w:r>
    </w:p>
    <w:p w:rsidR="00AA463C" w:rsidRPr="00731AA0" w:rsidRDefault="0073412C" w:rsidP="007341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412C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610589"/>
            <wp:effectExtent l="19050" t="0" r="222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3E21" w:rsidRPr="00731AA0" w:rsidRDefault="0073412C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Стоит также отметить, что на территории Хакасии зарегистрированы 28699 изб</w:t>
      </w:r>
      <w:r w:rsidR="007C7FA5">
        <w:rPr>
          <w:color w:val="000000"/>
          <w:sz w:val="28"/>
          <w:szCs w:val="28"/>
          <w:shd w:val="clear" w:color="auto" w:fill="FFFFFF"/>
        </w:rPr>
        <w:t>ирателей, являющихся инвалидами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21951" w:rsidRDefault="0073412C" w:rsidP="007341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412C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87669"/>
            <wp:effectExtent l="19050" t="0" r="2222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FA5" w:rsidRDefault="007C7FA5" w:rsidP="007C7F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C7FA5" w:rsidRPr="00731AA0" w:rsidRDefault="007C7FA5" w:rsidP="007C7F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C" w:rsidRDefault="0073412C" w:rsidP="00C26F25">
      <w:r>
        <w:separator/>
      </w:r>
    </w:p>
  </w:endnote>
  <w:endnote w:type="continuationSeparator" w:id="0">
    <w:p w:rsidR="0073412C" w:rsidRDefault="0073412C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C" w:rsidRDefault="0073412C" w:rsidP="00C26F25">
      <w:r>
        <w:separator/>
      </w:r>
    </w:p>
  </w:footnote>
  <w:footnote w:type="continuationSeparator" w:id="0">
    <w:p w:rsidR="0073412C" w:rsidRDefault="0073412C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0EAF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0712C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A388F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616A6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412C"/>
    <w:rsid w:val="00735416"/>
    <w:rsid w:val="00772688"/>
    <w:rsid w:val="00780F51"/>
    <w:rsid w:val="00785681"/>
    <w:rsid w:val="00786523"/>
    <w:rsid w:val="00797164"/>
    <w:rsid w:val="007A0107"/>
    <w:rsid w:val="007A5021"/>
    <w:rsid w:val="007C7FA5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74193"/>
    <w:rsid w:val="00887451"/>
    <w:rsid w:val="008A1A70"/>
    <w:rsid w:val="008A5B10"/>
    <w:rsid w:val="008A6CF3"/>
    <w:rsid w:val="008B5D59"/>
    <w:rsid w:val="008C3186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57BE4"/>
    <w:rsid w:val="00967680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02340"/>
    <w:rsid w:val="00A34254"/>
    <w:rsid w:val="00A4132F"/>
    <w:rsid w:val="00A55F76"/>
    <w:rsid w:val="00A86546"/>
    <w:rsid w:val="00AA2D27"/>
    <w:rsid w:val="00AA463C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82C39"/>
    <w:rsid w:val="00D92DBA"/>
    <w:rsid w:val="00D9327F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4.2521651085749117E-2"/>
          <c:y val="0.11113156671855344"/>
          <c:w val="0.6219380629855733"/>
          <c:h val="0.86066369760074513"/>
        </c:manualLayout>
      </c:layout>
      <c:pieChart>
        <c:varyColors val="1"/>
        <c:ser>
          <c:idx val="0"/>
          <c:order val="0"/>
          <c:explosion val="13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Лист1!$G$4:$S$4</c:f>
              <c:strCache>
                <c:ptCount val="13"/>
                <c:pt idx="0">
                  <c:v>Абаза</c:v>
                </c:pt>
                <c:pt idx="1">
                  <c:v>Абакан</c:v>
                </c:pt>
                <c:pt idx="2">
                  <c:v>Саяногорск</c:v>
                </c:pt>
                <c:pt idx="3">
                  <c:v>Сорск</c:v>
                </c:pt>
                <c:pt idx="4">
                  <c:v>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Лист1!$G$5:$S$5</c:f>
              <c:numCache>
                <c:formatCode>General</c:formatCode>
                <c:ptCount val="13"/>
                <c:pt idx="0">
                  <c:v>10208</c:v>
                </c:pt>
                <c:pt idx="1">
                  <c:v>128224</c:v>
                </c:pt>
                <c:pt idx="2">
                  <c:v>48130</c:v>
                </c:pt>
                <c:pt idx="3">
                  <c:v>7600</c:v>
                </c:pt>
                <c:pt idx="4">
                  <c:v>46321</c:v>
                </c:pt>
                <c:pt idx="5">
                  <c:v>16181</c:v>
                </c:pt>
                <c:pt idx="6">
                  <c:v>29958</c:v>
                </c:pt>
                <c:pt idx="7">
                  <c:v>13884</c:v>
                </c:pt>
                <c:pt idx="8">
                  <c:v>10844</c:v>
                </c:pt>
                <c:pt idx="9">
                  <c:v>9076</c:v>
                </c:pt>
                <c:pt idx="10">
                  <c:v>10095</c:v>
                </c:pt>
                <c:pt idx="11">
                  <c:v>31399</c:v>
                </c:pt>
                <c:pt idx="12">
                  <c:v>20112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586609303540049"/>
          <c:y val="8.0072660968348919E-2"/>
          <c:w val="0.29246917169367936"/>
          <c:h val="0.9199273390316510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0071737291523757"/>
          <c:y val="0.19511975691963973"/>
          <c:w val="0.50307713673684951"/>
          <c:h val="0.80018914342448144"/>
        </c:manualLayout>
      </c:layout>
      <c:pieChart>
        <c:varyColors val="1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Лист1!$D$23:$E$23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Лист1!$D$24:$E$24</c:f>
              <c:numCache>
                <c:formatCode>0.00%</c:formatCode>
                <c:ptCount val="2"/>
                <c:pt idx="0">
                  <c:v>0.44500000000000001</c:v>
                </c:pt>
                <c:pt idx="1">
                  <c:v>0.55500000000000005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0285518292041391"/>
          <c:y val="0.30588888305774037"/>
          <c:w val="0.18431745203415584"/>
          <c:h val="0.39162274562137261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3.3874564186939342E-2"/>
          <c:y val="9.5833232384413547E-2"/>
          <c:w val="0.6771145845575276"/>
          <c:h val="0.87243609933373711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Лист1!$U$17:$W$17</c:f>
              <c:strCache>
                <c:ptCount val="3"/>
                <c:pt idx="0">
                  <c:v>18 – 35 лет</c:v>
                </c:pt>
                <c:pt idx="1">
                  <c:v>35 – 60 лет</c:v>
                </c:pt>
                <c:pt idx="2">
                  <c:v>старше 60 лет</c:v>
                </c:pt>
              </c:strCache>
            </c:strRef>
          </c:cat>
          <c:val>
            <c:numRef>
              <c:f>Лист1!$U$18:$W$18</c:f>
              <c:numCache>
                <c:formatCode>General</c:formatCode>
                <c:ptCount val="3"/>
                <c:pt idx="0">
                  <c:v>112316</c:v>
                </c:pt>
                <c:pt idx="1">
                  <c:v>171169</c:v>
                </c:pt>
                <c:pt idx="2">
                  <c:v>98547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7869455870255067"/>
          <c:y val="0.26569614375126183"/>
          <c:w val="0.20936514278998719"/>
          <c:h val="0.50963315162527767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4627868593746025E-2"/>
          <c:y val="0.114628638121706"/>
          <c:w val="0.63539188608748776"/>
          <c:h val="0.82207913823317591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Лист1!$C$52:$E$52</c:f>
              <c:strCache>
                <c:ptCount val="3"/>
                <c:pt idx="0">
                  <c:v>инвалиды 1 группы</c:v>
                </c:pt>
                <c:pt idx="1">
                  <c:v>инвалиды 2 группы</c:v>
                </c:pt>
                <c:pt idx="2">
                  <c:v>инвалиды 3 группы</c:v>
                </c:pt>
              </c:strCache>
            </c:strRef>
          </c:cat>
          <c:val>
            <c:numRef>
              <c:f>Лист1!$C$53:$E$53</c:f>
              <c:numCache>
                <c:formatCode>#,##0</c:formatCode>
                <c:ptCount val="3"/>
                <c:pt idx="0">
                  <c:v>3417</c:v>
                </c:pt>
                <c:pt idx="1">
                  <c:v>12452</c:v>
                </c:pt>
                <c:pt idx="2">
                  <c:v>12830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318813969578369"/>
          <c:y val="0.14083217336330828"/>
          <c:w val="0.23565648228476196"/>
          <c:h val="0.72279700375544653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0.00514</cdr:y>
    </cdr:from>
    <cdr:to>
      <cdr:x>0.99875</cdr:x>
      <cdr:y>0.07877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8575"/>
          <a:ext cx="76200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Численность избирателей по состоянию на 1 июля 2018 года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0.00196</cdr:x>
      <cdr:y>0.0184</cdr:y>
    </cdr:from>
    <cdr:to>
      <cdr:x>1</cdr:x>
      <cdr:y>0.10429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07" y="67234"/>
          <a:ext cx="5692588" cy="3137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ea typeface="+mn-ea"/>
              <a:cs typeface="Times New Roman" pitchFamily="18" charset="0"/>
            </a:rPr>
            <a:t>Численность избирателей по состоянию на 1 июля 2018 года 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0.02679</cdr:x>
      <cdr:y>0.02475</cdr:y>
    </cdr:from>
    <cdr:to>
      <cdr:x>0.97619</cdr:x>
      <cdr:y>0.12376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2464" y="68036"/>
          <a:ext cx="4340678" cy="272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ea typeface="+mn-ea"/>
              <a:cs typeface="Times New Roman" pitchFamily="18" charset="0"/>
            </a:rPr>
            <a:t>Численность избирателей по состоянию на 1 июля 2018 года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0.00797</cdr:x>
      <cdr:y>0.01804</cdr:y>
    </cdr:from>
    <cdr:to>
      <cdr:x>0.96813</cdr:x>
      <cdr:y>0.14433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429" y="95250"/>
          <a:ext cx="6558643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0.00398</cdr:x>
      <cdr:y>0.01289</cdr:y>
    </cdr:from>
    <cdr:to>
      <cdr:x>0.99602</cdr:x>
      <cdr:y>0.09496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216" y="59094"/>
          <a:ext cx="6776356" cy="376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ea typeface="+mn-ea"/>
              <a:cs typeface="Times New Roman" pitchFamily="18" charset="0"/>
            </a:rPr>
            <a:t>Численность избирателей по состоянию на 1 июля 2018 года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8</cp:revision>
  <cp:lastPrinted>2017-10-02T05:32:00Z</cp:lastPrinted>
  <dcterms:created xsi:type="dcterms:W3CDTF">2018-07-16T05:19:00Z</dcterms:created>
  <dcterms:modified xsi:type="dcterms:W3CDTF">2018-07-17T08:48:00Z</dcterms:modified>
</cp:coreProperties>
</file>